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1" w:rightFromText="181" w:vertAnchor="page" w:tblpXSpec="center" w:tblpY="1702"/>
        <w:tblOverlap w:val="never"/>
        <w:tblW w:w="9638" w:type="dxa"/>
        <w:tblInd w:w="0" w:type="dxa"/>
        <w:tblLayout w:type="fixed"/>
        <w:tblCellMar>
          <w:top w:w="0" w:type="dxa"/>
          <w:left w:w="0" w:type="dxa"/>
          <w:bottom w:w="0" w:type="dxa"/>
          <w:right w:w="0" w:type="dxa"/>
        </w:tblCellMar>
      </w:tblPr>
      <w:tblGrid>
        <w:gridCol w:w="396"/>
        <w:gridCol w:w="4371"/>
        <w:gridCol w:w="4475"/>
        <w:gridCol w:w="396"/>
      </w:tblGrid>
      <w:tr>
        <w:tblPrEx>
          <w:tblLayout w:type="fixed"/>
        </w:tblPrEx>
        <w:tc>
          <w:tcPr>
            <w:tcW w:w="396" w:type="dxa"/>
            <w:vAlign w:val="top"/>
          </w:tcPr>
          <w:p>
            <w:pPr>
              <w:rPr>
                <w:rFonts w:hint="eastAsia" w:ascii="仿宋" w:hAnsi="仿宋" w:eastAsia="方正小标宋_GBK"/>
                <w:b/>
                <w:bCs/>
                <w:color w:val="000000"/>
                <w:sz w:val="72"/>
                <w:szCs w:val="72"/>
              </w:rPr>
            </w:pPr>
            <w:r>
              <w:rPr>
                <w:rFonts w:hint="eastAsia" w:ascii="仿宋" w:hAnsi="仿宋" w:eastAsia="方正仿宋_GBK"/>
                <w:bCs/>
                <w:color w:val="000000"/>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708025</wp:posOffset>
                      </wp:positionV>
                      <wp:extent cx="6118225" cy="0"/>
                      <wp:effectExtent l="0" t="19050" r="15875" b="19050"/>
                      <wp:wrapNone/>
                      <wp:docPr id="1" name="直接连接符 1" descr="红头"/>
                      <wp:cNvGraphicFramePr/>
                      <a:graphic xmlns:a="http://schemas.openxmlformats.org/drawingml/2006/main">
                        <a:graphicData uri="http://schemas.microsoft.com/office/word/2010/wordprocessingShape">
                          <wps:wsp>
                            <wps:cNvCnPr/>
                            <wps:spPr>
                              <a:xfrm>
                                <a:off x="0" y="0"/>
                                <a:ext cx="611822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alt="红头" style="position:absolute;left:0pt;margin-left:-0.05pt;margin-top:55.75pt;height:0pt;width:481.75pt;z-index:251660288;mso-width-relative:page;mso-height-relative:page;" filled="f" stroked="t" coordsize="21600,21600" o:gfxdata="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2cD2dkAAAAJAQAADwAAAAAAAAABACAAAAAiAAAAZHJzL2Rvd25yZXYueG1sUEsBAhQAFAAAAAgA&#10;h07iQLzKq3nrAQAApgMAAA4AAAAAAAAAAQAgAAAAKAEAAGRycy9lMm9Eb2MueG1sUEsFBgAAAAAG&#10;AAYAWQEAAIUFAAAAAA==&#10;">
                      <v:fill on="f" focussize="0,0"/>
                      <v:stroke weight="3pt" color="#FF0000" joinstyle="round"/>
                      <v:imagedata o:title=""/>
                      <o:lock v:ext="edit" aspectratio="f"/>
                    </v:line>
                  </w:pict>
                </mc:Fallback>
              </mc:AlternateContent>
            </w:r>
          </w:p>
        </w:tc>
        <w:tc>
          <w:tcPr>
            <w:tcW w:w="8846" w:type="dxa"/>
            <w:gridSpan w:val="2"/>
            <w:vAlign w:val="top"/>
          </w:tcPr>
          <w:p>
            <w:pPr>
              <w:spacing w:line="240" w:lineRule="exact"/>
              <w:jc w:val="center"/>
              <w:rPr>
                <w:rFonts w:hint="eastAsia" w:ascii="仿宋" w:hAnsi="仿宋" w:eastAsia="宋体"/>
                <w:b/>
                <w:color w:val="FF0000"/>
                <w:spacing w:val="20"/>
                <w:w w:val="90"/>
                <w:sz w:val="110"/>
                <w:szCs w:val="110"/>
              </w:rPr>
            </w:pPr>
            <w:r>
              <w:rPr>
                <w:rFonts w:hint="eastAsia" w:ascii="仿宋" w:hAnsi="仿宋" w:eastAsia="宋体"/>
                <w:b/>
                <w:color w:val="FF0000"/>
                <w:spacing w:val="20"/>
                <w:sz w:val="110"/>
                <w:szCs w:val="11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ge">
                        <wp:posOffset>0</wp:posOffset>
                      </wp:positionV>
                      <wp:extent cx="5466715" cy="596265"/>
                      <wp:effectExtent l="0" t="0" r="0" b="0"/>
                      <wp:wrapNone/>
                      <wp:docPr id="3" name="文本框 3" descr="文本框: 红头"/>
                      <wp:cNvGraphicFramePr/>
                      <a:graphic xmlns:a="http://schemas.openxmlformats.org/drawingml/2006/main">
                        <a:graphicData uri="http://schemas.microsoft.com/office/word/2010/wordprocessingShape">
                          <wps:wsp>
                            <wps:cNvSpPr txBox="1"/>
                            <wps:spPr>
                              <a:xfrm>
                                <a:off x="0" y="0"/>
                                <a:ext cx="5466715" cy="596265"/>
                              </a:xfrm>
                              <a:prstGeom prst="rect">
                                <a:avLst/>
                              </a:prstGeom>
                              <a:noFill/>
                              <a:ln w="9525">
                                <a:noFill/>
                              </a:ln>
                            </wps:spPr>
                            <wps:txbx>
                              <w:txbxContent>
                                <w:p>
                                  <w:pPr>
                                    <w:spacing w:line="1000" w:lineRule="exact"/>
                                    <w:jc w:val="center"/>
                                    <w:rPr>
                                      <w:rFonts w:hint="eastAsia" w:ascii="方正小标宋简体" w:hAnsi="华文中宋" w:eastAsia="方正小标宋简体"/>
                                      <w:color w:val="FD441F"/>
                                      <w:sz w:val="86"/>
                                      <w:szCs w:val="86"/>
                                    </w:rPr>
                                  </w:pPr>
                                  <w:r>
                                    <w:rPr>
                                      <w:rFonts w:hint="eastAsia" w:ascii="方正小标宋_GBK" w:eastAsia="方正小标宋_GBK"/>
                                      <w:bCs/>
                                      <w:color w:val="FF0000"/>
                                      <w:sz w:val="86"/>
                                      <w:szCs w:val="86"/>
                                    </w:rPr>
                                    <w:t>湖 北 省 民 政 厅</w:t>
                                  </w:r>
                                </w:p>
                              </w:txbxContent>
                            </wps:txbx>
                            <wps:bodyPr lIns="0" tIns="0" rIns="0" bIns="0" upright="1"/>
                          </wps:wsp>
                        </a:graphicData>
                      </a:graphic>
                    </wp:anchor>
                  </w:drawing>
                </mc:Choice>
                <mc:Fallback>
                  <w:pict>
                    <v:shape id="_x0000_s1026" o:spid="_x0000_s1026" o:spt="202" alt="文本框: 红头" type="#_x0000_t202" style="position:absolute;left:0pt;margin-left:10.5pt;margin-top:0pt;height:46.95pt;width:430.45pt;mso-position-vertical-relative:page;z-index:251659264;mso-width-relative:page;mso-height-relative:page;" filled="f" stroked="f" coordsize="21600,21600" o:gfxdata="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IPOEtYAAAAGAQAADwAAAAAAAAABACAAAAAiAAAAZHJzL2Rvd25yZXYueG1sUEsBAhQA&#10;FAAAAAgAh07iQLc54GO7AQAARwMAAA4AAAAAAAAAAQAgAAAAJQEAAGRycy9lMm9Eb2MueG1sUEsF&#10;BgAAAAAGAAYAWQEAAFIFAAAAAA==&#10;">
                      <v:fill on="f" focussize="0,0"/>
                      <v:stroke on="f"/>
                      <v:imagedata o:title=""/>
                      <o:lock v:ext="edit" aspectratio="f"/>
                      <v:textbox inset="0mm,0mm,0mm,0mm">
                        <w:txbxContent>
                          <w:p>
                            <w:pPr>
                              <w:spacing w:line="1000" w:lineRule="exact"/>
                              <w:jc w:val="center"/>
                              <w:rPr>
                                <w:rFonts w:hint="eastAsia" w:ascii="方正小标宋简体" w:hAnsi="华文中宋" w:eastAsia="方正小标宋简体"/>
                                <w:color w:val="FD441F"/>
                                <w:sz w:val="86"/>
                                <w:szCs w:val="86"/>
                              </w:rPr>
                            </w:pPr>
                            <w:r>
                              <w:rPr>
                                <w:rFonts w:hint="eastAsia" w:ascii="方正小标宋_GBK" w:eastAsia="方正小标宋_GBK"/>
                                <w:bCs/>
                                <w:color w:val="FF0000"/>
                                <w:sz w:val="86"/>
                                <w:szCs w:val="86"/>
                              </w:rPr>
                              <w:t>湖 北 省 民 政 厅</w:t>
                            </w:r>
                          </w:p>
                        </w:txbxContent>
                      </v:textbox>
                    </v:shape>
                  </w:pict>
                </mc:Fallback>
              </mc:AlternateContent>
            </w:r>
          </w:p>
        </w:tc>
        <w:tc>
          <w:tcPr>
            <w:tcW w:w="396" w:type="dxa"/>
            <w:vAlign w:val="top"/>
          </w:tcPr>
          <w:p>
            <w:pPr>
              <w:rPr>
                <w:rFonts w:hint="eastAsia" w:ascii="仿宋" w:hAnsi="仿宋" w:eastAsia="方正小标宋_GBK"/>
                <w:b/>
                <w:bCs/>
                <w:color w:val="000000"/>
                <w:sz w:val="72"/>
                <w:szCs w:val="72"/>
              </w:rPr>
            </w:pPr>
          </w:p>
        </w:tc>
      </w:tr>
      <w:tr>
        <w:tblPrEx>
          <w:tblLayout w:type="fixed"/>
        </w:tblPrEx>
        <w:trPr>
          <w:trHeight w:val="226" w:hRule="exact"/>
        </w:trPr>
        <w:tc>
          <w:tcPr>
            <w:tcW w:w="396" w:type="dxa"/>
            <w:vAlign w:val="top"/>
          </w:tcPr>
          <w:p>
            <w:pPr>
              <w:rPr>
                <w:rFonts w:hint="eastAsia" w:ascii="仿宋" w:hAnsi="仿宋" w:eastAsia="方正仿宋_GBK"/>
                <w:b/>
                <w:bCs/>
                <w:color w:val="000000"/>
                <w:sz w:val="72"/>
                <w:szCs w:val="72"/>
              </w:rPr>
            </w:pPr>
            <w:r>
              <w:rPr>
                <w:rFonts w:hint="eastAsia" w:ascii="仿宋" w:hAnsi="仿宋" w:eastAsia="方正仿宋_GBK"/>
                <w:bCs/>
                <w:color w:val="000000"/>
                <w:szCs w:val="3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19050</wp:posOffset>
                      </wp:positionV>
                      <wp:extent cx="6120130" cy="0"/>
                      <wp:effectExtent l="0" t="0" r="0" b="0"/>
                      <wp:wrapNone/>
                      <wp:docPr id="2" name="直接连接符 2" descr="红头"/>
                      <wp:cNvGraphicFramePr/>
                      <a:graphic xmlns:a="http://schemas.openxmlformats.org/drawingml/2006/main">
                        <a:graphicData uri="http://schemas.microsoft.com/office/word/2010/wordprocessingShape">
                          <wps:wsp>
                            <wps:cNvCnPr/>
                            <wps:spPr>
                              <a:xfrm>
                                <a:off x="0" y="0"/>
                                <a:ext cx="612013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alt="红头" style="position:absolute;left:0pt;margin-left:-0.2pt;margin-top:1.5pt;height:0pt;width:481.9pt;z-index:251661312;mso-width-relative:page;mso-height-relative:page;" filled="f" stroked="t" coordsize="21600,21600" o:gfxdata="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50VatMA&#10;AAAFAQAADwAAAAAAAAABACAAAAAiAAAAZHJzL2Rvd25yZXYueG1sUEsBAhQAFAAAAAgAh07iQO6Q&#10;cVjrAQAApgMAAA4AAAAAAAAAAQAgAAAAIgEAAGRycy9lMm9Eb2MueG1sUEsFBgAAAAAGAAYAWQEA&#10;AH8FAAAAAA==&#10;">
                      <v:fill on="f" focussize="0,0"/>
                      <v:stroke weight="1.25pt" color="#FF0000" joinstyle="round"/>
                      <v:imagedata o:title=""/>
                      <o:lock v:ext="edit" aspectratio="f"/>
                    </v:line>
                  </w:pict>
                </mc:Fallback>
              </mc:AlternateContent>
            </w:r>
          </w:p>
        </w:tc>
        <w:tc>
          <w:tcPr>
            <w:tcW w:w="4371" w:type="dxa"/>
            <w:vAlign w:val="top"/>
          </w:tcPr>
          <w:p>
            <w:pPr>
              <w:rPr>
                <w:rFonts w:hint="eastAsia" w:ascii="仿宋" w:hAnsi="仿宋" w:eastAsia="方正仿宋_GBK"/>
                <w:color w:val="000000"/>
                <w:szCs w:val="32"/>
              </w:rPr>
            </w:pPr>
          </w:p>
        </w:tc>
        <w:tc>
          <w:tcPr>
            <w:tcW w:w="4475" w:type="dxa"/>
            <w:vAlign w:val="top"/>
          </w:tcPr>
          <w:p>
            <w:pPr>
              <w:jc w:val="right"/>
              <w:rPr>
                <w:rFonts w:ascii="仿宋" w:hAnsi="仿宋"/>
                <w:color w:val="000000"/>
              </w:rPr>
            </w:pPr>
          </w:p>
        </w:tc>
        <w:tc>
          <w:tcPr>
            <w:tcW w:w="396" w:type="dxa"/>
            <w:vAlign w:val="top"/>
          </w:tcPr>
          <w:p>
            <w:pPr>
              <w:rPr>
                <w:rFonts w:hint="eastAsia" w:ascii="仿宋" w:hAnsi="仿宋" w:eastAsia="方正小标宋_GBK"/>
                <w:b/>
                <w:bCs/>
                <w:color w:val="000000"/>
                <w:sz w:val="72"/>
                <w:szCs w:val="72"/>
              </w:rPr>
            </w:pPr>
          </w:p>
        </w:tc>
      </w:tr>
      <w:tr>
        <w:tblPrEx>
          <w:tblLayout w:type="fixed"/>
        </w:tblPrEx>
        <w:tc>
          <w:tcPr>
            <w:tcW w:w="396" w:type="dxa"/>
            <w:vAlign w:val="top"/>
          </w:tcPr>
          <w:p>
            <w:pPr>
              <w:rPr>
                <w:rFonts w:hint="eastAsia" w:ascii="仿宋" w:hAnsi="仿宋" w:eastAsia="方正小标宋_GBK"/>
                <w:b/>
                <w:bCs/>
                <w:color w:val="000000"/>
                <w:sz w:val="72"/>
                <w:szCs w:val="72"/>
              </w:rPr>
            </w:pPr>
          </w:p>
        </w:tc>
        <w:tc>
          <w:tcPr>
            <w:tcW w:w="4371" w:type="dxa"/>
            <w:vAlign w:val="top"/>
          </w:tcPr>
          <w:p>
            <w:pPr>
              <w:rPr>
                <w:rFonts w:hint="eastAsia" w:ascii="仿宋" w:hAnsi="仿宋" w:eastAsia="方正仿宋_GBK"/>
                <w:color w:val="000000"/>
                <w:szCs w:val="32"/>
              </w:rPr>
            </w:pPr>
            <w:r>
              <w:rPr>
                <w:rFonts w:hint="eastAsia" w:ascii="仿宋" w:hAnsi="仿宋" w:eastAsia="方正小标宋_GBK"/>
                <w:color w:val="000000"/>
                <w:szCs w:val="32"/>
              </w:rPr>
              <w:t xml:space="preserve"> </w:t>
            </w:r>
          </w:p>
        </w:tc>
        <w:tc>
          <w:tcPr>
            <w:tcW w:w="4475" w:type="dxa"/>
            <w:vAlign w:val="top"/>
          </w:tcPr>
          <w:p>
            <w:pPr>
              <w:spacing w:before="115" w:beforeLines="20"/>
              <w:jc w:val="right"/>
              <w:rPr>
                <w:rFonts w:hint="eastAsia" w:ascii="仿宋" w:hAnsi="仿宋" w:eastAsia="方正仿宋_GBK"/>
                <w:color w:val="000000"/>
                <w:szCs w:val="32"/>
                <w:lang w:eastAsia="zh-CN"/>
              </w:rPr>
            </w:pPr>
            <w:r>
              <w:rPr>
                <w:rFonts w:hint="eastAsia" w:ascii="仿宋" w:hAnsi="仿宋" w:eastAsia="方正仿宋_GBK"/>
                <w:color w:val="000000"/>
                <w:szCs w:val="32"/>
                <w:lang w:eastAsia="zh-CN"/>
              </w:rPr>
              <w:t>鄂民政函〔2019〕196号</w:t>
            </w:r>
          </w:p>
        </w:tc>
        <w:tc>
          <w:tcPr>
            <w:tcW w:w="396" w:type="dxa"/>
            <w:vAlign w:val="top"/>
          </w:tcPr>
          <w:p>
            <w:pPr>
              <w:rPr>
                <w:rFonts w:hint="eastAsia" w:ascii="仿宋" w:hAnsi="仿宋" w:eastAsia="方正小标宋_GBK"/>
                <w:b/>
                <w:bCs/>
                <w:color w:val="000000"/>
                <w:sz w:val="72"/>
                <w:szCs w:val="72"/>
              </w:rPr>
            </w:pPr>
          </w:p>
        </w:tc>
      </w:tr>
    </w:tbl>
    <w:p>
      <w:pPr>
        <w:spacing w:line="200" w:lineRule="exact"/>
        <w:rPr>
          <w:rFonts w:hint="eastAsia" w:ascii="仿宋" w:hAnsi="仿宋" w:eastAsia="方正仿宋_GBK"/>
          <w:color w:val="000000"/>
          <w:szCs w:val="32"/>
        </w:rPr>
      </w:pPr>
      <w:bookmarkStart w:id="0" w:name="_GoBack"/>
    </w:p>
    <w:bookmarkEnd w:id="0"/>
    <w:p>
      <w:pPr>
        <w:spacing w:line="600" w:lineRule="exact"/>
        <w:jc w:val="center"/>
        <w:rPr>
          <w:rFonts w:hint="eastAsia" w:ascii="仿宋" w:hAnsi="仿宋" w:eastAsia="方正小标宋_GBK" w:cs="黑体"/>
          <w:sz w:val="38"/>
          <w:szCs w:val="38"/>
        </w:rPr>
      </w:pPr>
      <w:r>
        <w:rPr>
          <w:rFonts w:hint="eastAsia" w:ascii="仿宋" w:hAnsi="仿宋" w:eastAsia="方正小标宋_GBK" w:cs="黑体"/>
          <w:sz w:val="38"/>
          <w:szCs w:val="38"/>
        </w:rPr>
        <w:t>省民政厅关于公布2018年度</w:t>
      </w:r>
    </w:p>
    <w:p>
      <w:pPr>
        <w:spacing w:line="600" w:lineRule="exact"/>
        <w:jc w:val="center"/>
        <w:rPr>
          <w:rFonts w:hint="eastAsia" w:ascii="仿宋" w:hAnsi="仿宋" w:eastAsia="方正小标宋_GBK" w:cs="黑体"/>
          <w:sz w:val="38"/>
          <w:szCs w:val="38"/>
        </w:rPr>
      </w:pPr>
      <w:r>
        <w:rPr>
          <w:rFonts w:hint="eastAsia" w:ascii="仿宋" w:hAnsi="仿宋" w:eastAsia="方正小标宋_GBK" w:cs="黑体"/>
          <w:sz w:val="38"/>
          <w:szCs w:val="38"/>
        </w:rPr>
        <w:t>具备公益性捐赠税前扣除资格的社会组织名单的通知</w:t>
      </w:r>
    </w:p>
    <w:p>
      <w:pPr>
        <w:rPr>
          <w:rFonts w:ascii="仿宋" w:hAnsi="仿宋" w:eastAsia="仿宋_GB2312" w:cs="仿宋_GB2312"/>
          <w:sz w:val="32"/>
          <w:szCs w:val="32"/>
        </w:rPr>
      </w:pPr>
    </w:p>
    <w:p>
      <w:pPr>
        <w:spacing w:line="560" w:lineRule="exact"/>
        <w:rPr>
          <w:rFonts w:hint="eastAsia" w:ascii="仿宋" w:hAnsi="仿宋" w:eastAsia="方正仿宋_GBK" w:cs="方正仿宋_GBK"/>
        </w:rPr>
      </w:pPr>
      <w:r>
        <w:rPr>
          <w:rFonts w:hint="eastAsia" w:ascii="仿宋" w:hAnsi="仿宋" w:eastAsia="方正仿宋_GBK" w:cs="方正仿宋_GBK"/>
          <w:sz w:val="32"/>
          <w:szCs w:val="20"/>
        </w:rPr>
        <w:t>各市、州、直管市及神农架林区民政局，有关社会组织:</w:t>
      </w:r>
    </w:p>
    <w:p>
      <w:pPr>
        <w:spacing w:line="560" w:lineRule="exact"/>
        <w:ind w:firstLine="632" w:firstLineChars="200"/>
        <w:rPr>
          <w:rFonts w:hint="eastAsia" w:ascii="仿宋" w:hAnsi="仿宋" w:eastAsia="方正仿宋_GBK" w:cs="方正仿宋_GBK"/>
          <w:bCs w:val="0"/>
          <w:color w:val="000000"/>
          <w:sz w:val="32"/>
          <w:szCs w:val="20"/>
        </w:rPr>
      </w:pPr>
      <w:r>
        <w:rPr>
          <w:rFonts w:hint="eastAsia" w:ascii="仿宋" w:hAnsi="仿宋" w:eastAsia="方正仿宋_GBK" w:cs="方正仿宋_GBK"/>
          <w:sz w:val="32"/>
          <w:szCs w:val="20"/>
        </w:rPr>
        <w:t>根据《中华人民共和国企业所得税法》《中华人民共和国企业所得税实施条例》和《财政部、国家税务总局、民政部</w:t>
      </w:r>
      <w:r>
        <w:rPr>
          <w:rFonts w:hint="eastAsia" w:ascii="仿宋" w:hAnsi="仿宋" w:eastAsia="方正仿宋_GBK" w:cs="方正仿宋_GBK"/>
          <w:bCs w:val="0"/>
          <w:color w:val="000000"/>
          <w:sz w:val="32"/>
          <w:szCs w:val="20"/>
        </w:rPr>
        <w:t>关于公益性捐赠税前扣除资格确认审批事项有关调整事项的通知》等有关规定和要求，经商省直相关部门，现就武汉大学教育发展基金会等297家具备2018年度公益性捐赠税前扣除资格社会组织名单予以公布。</w:t>
      </w:r>
    </w:p>
    <w:p>
      <w:pPr>
        <w:spacing w:line="560" w:lineRule="exact"/>
        <w:ind w:firstLine="631"/>
        <w:rPr>
          <w:rFonts w:hint="eastAsia" w:ascii="仿宋" w:hAnsi="仿宋" w:eastAsia="方正仿宋_GBK" w:cs="方正仿宋_GBK"/>
          <w:bCs w:val="0"/>
          <w:sz w:val="32"/>
          <w:szCs w:val="20"/>
        </w:rPr>
      </w:pPr>
      <w:r>
        <w:rPr>
          <w:rFonts w:hint="eastAsia" w:ascii="仿宋" w:hAnsi="仿宋" w:eastAsia="方正仿宋_GBK" w:cs="方正仿宋_GBK"/>
          <w:bCs w:val="0"/>
          <w:color w:val="000000"/>
          <w:sz w:val="32"/>
          <w:szCs w:val="20"/>
        </w:rPr>
        <w:t>已具备公益性捐赠税前扣除资格的社会组织应及时做好公益性捐赠税前扣除有关工作，并加强捐赠资金的使用管理。</w:t>
      </w:r>
    </w:p>
    <w:p>
      <w:pPr>
        <w:spacing w:line="400" w:lineRule="exact"/>
        <w:ind w:firstLine="629"/>
        <w:rPr>
          <w:rFonts w:hint="eastAsia" w:ascii="仿宋" w:hAnsi="仿宋" w:eastAsia="方正仿宋_GBK" w:cs="方正仿宋_GBK"/>
          <w:bCs w:val="0"/>
          <w:sz w:val="32"/>
          <w:szCs w:val="20"/>
        </w:rPr>
      </w:pPr>
    </w:p>
    <w:p>
      <w:pPr>
        <w:ind w:firstLine="0" w:firstLineChars="0"/>
        <w:rPr>
          <w:rFonts w:hint="eastAsia" w:ascii="仿宋" w:hAnsi="仿宋" w:eastAsia="方正仿宋_GBK" w:cs="方正仿宋_GBK"/>
          <w:bCs w:val="0"/>
          <w:sz w:val="32"/>
          <w:szCs w:val="20"/>
        </w:rPr>
      </w:pPr>
      <w:r>
        <w:rPr>
          <w:rFonts w:hint="eastAsia" w:ascii="仿宋" w:hAnsi="仿宋" w:eastAsia="方正仿宋_GBK" w:cs="方正仿宋_GBK"/>
          <w:bCs w:val="0"/>
          <w:sz w:val="32"/>
          <w:szCs w:val="20"/>
          <w:lang w:val="en-US" w:eastAsia="zh-CN"/>
        </w:rPr>
        <w:t xml:space="preserve">    </w:t>
      </w:r>
      <w:r>
        <w:rPr>
          <w:rFonts w:hint="eastAsia" w:ascii="仿宋" w:hAnsi="仿宋" w:eastAsia="方正仿宋_GBK" w:cs="方正仿宋_GBK"/>
          <w:bCs w:val="0"/>
          <w:color w:val="000000"/>
          <w:sz w:val="32"/>
          <w:szCs w:val="20"/>
        </w:rPr>
        <w:t>附件</w:t>
      </w:r>
      <w:r>
        <w:rPr>
          <w:rFonts w:hint="eastAsia" w:ascii="仿宋" w:hAnsi="仿宋" w:eastAsia="方正仿宋_GBK" w:cs="方正仿宋_GBK"/>
          <w:bCs w:val="0"/>
          <w:sz w:val="32"/>
          <w:szCs w:val="20"/>
          <w:lang w:eastAsia="zh-CN"/>
        </w:rPr>
        <w:t>：</w:t>
      </w:r>
      <w:r>
        <w:rPr>
          <w:rFonts w:hint="eastAsia" w:ascii="仿宋" w:hAnsi="仿宋" w:eastAsia="方正仿宋_GBK" w:cs="方正仿宋_GBK"/>
          <w:bCs w:val="0"/>
          <w:color w:val="000000"/>
          <w:sz w:val="32"/>
          <w:szCs w:val="20"/>
        </w:rPr>
        <w:t>湖北省2018年度具备公益性捐赠税前扣除资格的</w:t>
      </w:r>
    </w:p>
    <w:p>
      <w:pPr>
        <w:ind w:firstLine="1580" w:firstLineChars="500"/>
        <w:rPr>
          <w:rFonts w:hint="eastAsia" w:ascii="仿宋" w:hAnsi="仿宋" w:eastAsia="方正仿宋_GBK" w:cs="方正仿宋_GBK"/>
          <w:bCs w:val="0"/>
          <w:color w:val="000000"/>
          <w:sz w:val="32"/>
          <w:szCs w:val="20"/>
        </w:rPr>
      </w:pPr>
      <w:r>
        <w:rPr>
          <w:rFonts w:hint="eastAsia" w:ascii="仿宋" w:hAnsi="仿宋" w:eastAsia="方正仿宋_GBK" w:cs="方正仿宋_GBK"/>
          <w:bCs w:val="0"/>
          <w:color w:val="000000"/>
          <w:sz w:val="32"/>
          <w:szCs w:val="20"/>
        </w:rPr>
        <w:t>社会组织名单</w:t>
      </w:r>
    </w:p>
    <w:p>
      <w:pPr>
        <w:rPr>
          <w:rFonts w:hint="eastAsia" w:ascii="仿宋" w:hAnsi="仿宋" w:eastAsia="方正仿宋_GBK" w:cs="仿宋_GB2312"/>
          <w:bCs/>
          <w:color w:val="000000"/>
          <w:sz w:val="32"/>
          <w:szCs w:val="32"/>
        </w:rPr>
      </w:pPr>
    </w:p>
    <w:p>
      <w:pPr>
        <w:rPr>
          <w:rFonts w:hint="eastAsia" w:ascii="仿宋" w:hAnsi="仿宋" w:eastAsia="方正仿宋_GBK" w:cs="方正仿宋_GBK"/>
          <w:bCs/>
          <w:color w:val="000000"/>
          <w:sz w:val="32"/>
          <w:szCs w:val="32"/>
        </w:rPr>
      </w:pPr>
      <w:r>
        <w:rPr>
          <w:rFonts w:hint="eastAsia" w:ascii="仿宋" w:hAnsi="仿宋" w:eastAsia="仿宋_GB2312" w:cs="仿宋_GB2312"/>
          <w:bCs/>
          <w:color w:val="000000"/>
          <w:sz w:val="32"/>
          <w:szCs w:val="32"/>
        </w:rPr>
        <w:t xml:space="preserve">                       </w:t>
      </w:r>
      <w:r>
        <w:rPr>
          <w:rFonts w:hint="eastAsia" w:ascii="仿宋" w:hAnsi="仿宋" w:eastAsia="方正仿宋_GBK" w:cs="方正仿宋_GBK"/>
          <w:bCs/>
          <w:color w:val="000000"/>
          <w:sz w:val="32"/>
          <w:szCs w:val="32"/>
        </w:rPr>
        <w:t xml:space="preserve">       </w:t>
      </w:r>
      <w:r>
        <w:rPr>
          <w:rFonts w:hint="eastAsia" w:ascii="仿宋" w:hAnsi="仿宋" w:eastAsia="方正仿宋_GBK" w:cs="方正仿宋_GBK"/>
          <w:bCs/>
          <w:color w:val="000000"/>
          <w:sz w:val="32"/>
          <w:szCs w:val="32"/>
          <w:lang w:val="en-US" w:eastAsia="zh-CN"/>
        </w:rPr>
        <w:t xml:space="preserve">  </w:t>
      </w:r>
      <w:r>
        <w:rPr>
          <w:rFonts w:hint="eastAsia" w:ascii="仿宋" w:hAnsi="仿宋" w:eastAsia="方正仿宋_GBK" w:cs="方正仿宋_GBK"/>
          <w:bCs/>
          <w:color w:val="000000"/>
          <w:sz w:val="32"/>
          <w:szCs w:val="32"/>
        </w:rPr>
        <w:t>湖北省民政厅</w:t>
      </w:r>
    </w:p>
    <w:p>
      <w:pPr>
        <w:rPr>
          <w:rFonts w:hint="eastAsia" w:ascii="仿宋" w:hAnsi="仿宋" w:eastAsia="方正仿宋_GBK" w:cs="方正仿宋_GBK"/>
          <w:bCs/>
          <w:color w:val="000000"/>
          <w:sz w:val="32"/>
          <w:szCs w:val="32"/>
        </w:rPr>
      </w:pPr>
      <w:r>
        <w:rPr>
          <w:rFonts w:hint="eastAsia" w:ascii="仿宋" w:hAnsi="仿宋" w:eastAsia="方正仿宋_GBK" w:cs="方正仿宋_GBK"/>
          <w:bCs/>
          <w:color w:val="000000"/>
          <w:sz w:val="32"/>
          <w:szCs w:val="32"/>
        </w:rPr>
        <w:t xml:space="preserve">                              2019年</w:t>
      </w:r>
      <w:r>
        <w:rPr>
          <w:rFonts w:hint="eastAsia" w:ascii="仿宋" w:hAnsi="仿宋" w:eastAsia="方正仿宋_GBK" w:cs="方正仿宋_GBK"/>
          <w:bCs/>
          <w:color w:val="000000"/>
          <w:sz w:val="32"/>
          <w:szCs w:val="32"/>
          <w:lang w:eastAsia="zh-CN"/>
        </w:rPr>
        <w:t>5</w:t>
      </w:r>
      <w:r>
        <w:rPr>
          <w:rFonts w:hint="eastAsia" w:ascii="仿宋" w:hAnsi="仿宋" w:eastAsia="方正仿宋_GBK" w:cs="方正仿宋_GBK"/>
          <w:bCs/>
          <w:color w:val="000000"/>
          <w:sz w:val="32"/>
          <w:szCs w:val="32"/>
        </w:rPr>
        <w:t>月</w:t>
      </w:r>
      <w:r>
        <w:rPr>
          <w:rFonts w:hint="eastAsia" w:ascii="仿宋" w:hAnsi="仿宋" w:eastAsia="方正仿宋_GBK" w:cs="方正仿宋_GBK"/>
          <w:bCs/>
          <w:color w:val="000000"/>
          <w:sz w:val="32"/>
          <w:szCs w:val="32"/>
          <w:lang w:eastAsia="zh-CN"/>
        </w:rPr>
        <w:t>2</w:t>
      </w:r>
      <w:r>
        <w:rPr>
          <w:rFonts w:hint="eastAsia" w:ascii="仿宋" w:hAnsi="仿宋" w:eastAsia="方正仿宋_GBK" w:cs="方正仿宋_GBK"/>
          <w:bCs/>
          <w:color w:val="000000"/>
          <w:sz w:val="32"/>
          <w:szCs w:val="32"/>
          <w:lang w:val="en-US" w:eastAsia="zh-CN"/>
        </w:rPr>
        <w:t>2</w:t>
      </w:r>
      <w:r>
        <w:rPr>
          <w:rFonts w:hint="eastAsia" w:ascii="仿宋" w:hAnsi="仿宋" w:eastAsia="方正仿宋_GBK" w:cs="方正仿宋_GBK"/>
          <w:bCs/>
          <w:color w:val="000000"/>
          <w:sz w:val="32"/>
          <w:szCs w:val="32"/>
        </w:rPr>
        <w:t>日</w:t>
      </w:r>
    </w:p>
    <w:p>
      <w:pPr>
        <w:rPr>
          <w:rFonts w:hint="eastAsia" w:ascii="仿宋" w:hAnsi="仿宋" w:eastAsia="方正黑体_GBK" w:cs="方正黑体_GBK"/>
          <w:bCs/>
          <w:color w:val="000000"/>
          <w:sz w:val="32"/>
          <w:szCs w:val="32"/>
        </w:rPr>
      </w:pPr>
      <w:r>
        <w:rPr>
          <w:rFonts w:hint="eastAsia" w:ascii="仿宋" w:hAnsi="仿宋" w:eastAsia="方正黑体_GBK" w:cs="方正黑体_GBK"/>
          <w:bCs/>
          <w:color w:val="000000"/>
          <w:sz w:val="32"/>
          <w:szCs w:val="32"/>
        </w:rPr>
        <w:br w:type="page"/>
      </w:r>
      <w:r>
        <w:rPr>
          <w:rFonts w:hint="eastAsia" w:ascii="仿宋" w:hAnsi="仿宋" w:eastAsia="方正黑体_GBK" w:cs="方正黑体_GBK"/>
          <w:bCs/>
          <w:color w:val="000000"/>
          <w:sz w:val="32"/>
          <w:szCs w:val="32"/>
        </w:rPr>
        <w:t xml:space="preserve">附件 </w:t>
      </w:r>
    </w:p>
    <w:p>
      <w:pPr>
        <w:rPr>
          <w:rFonts w:hint="eastAsia" w:ascii="仿宋" w:hAnsi="仿宋" w:eastAsia="黑体" w:cs="仿宋_GB2312"/>
          <w:bCs/>
          <w:color w:val="000000"/>
          <w:sz w:val="32"/>
          <w:szCs w:val="32"/>
        </w:rPr>
      </w:pPr>
    </w:p>
    <w:p>
      <w:pPr>
        <w:spacing w:line="640" w:lineRule="exact"/>
        <w:jc w:val="center"/>
        <w:rPr>
          <w:rFonts w:hint="eastAsia" w:ascii="仿宋" w:hAnsi="仿宋" w:eastAsia="方正小标宋_GBK" w:cs="方正小标宋_GBK"/>
          <w:bCs w:val="0"/>
          <w:color w:val="000000"/>
          <w:sz w:val="44"/>
          <w:szCs w:val="44"/>
        </w:rPr>
      </w:pPr>
      <w:r>
        <w:rPr>
          <w:rFonts w:hint="eastAsia" w:ascii="仿宋" w:hAnsi="仿宋" w:eastAsia="方正小标宋_GBK" w:cs="方正小标宋_GBK"/>
          <w:bCs w:val="0"/>
          <w:color w:val="000000"/>
          <w:sz w:val="44"/>
          <w:szCs w:val="44"/>
        </w:rPr>
        <w:t>湖北省2018年度</w:t>
      </w:r>
    </w:p>
    <w:p>
      <w:pPr>
        <w:spacing w:line="640" w:lineRule="exact"/>
        <w:jc w:val="center"/>
        <w:rPr>
          <w:rFonts w:hint="eastAsia" w:ascii="仿宋" w:hAnsi="仿宋" w:eastAsia="方正小标宋_GBK" w:cs="方正小标宋_GBK"/>
          <w:bCs w:val="0"/>
          <w:color w:val="000000"/>
          <w:sz w:val="44"/>
          <w:szCs w:val="44"/>
        </w:rPr>
      </w:pPr>
      <w:r>
        <w:rPr>
          <w:rFonts w:hint="eastAsia" w:ascii="仿宋" w:hAnsi="仿宋" w:eastAsia="方正小标宋_GBK" w:cs="方正小标宋_GBK"/>
          <w:bCs w:val="0"/>
          <w:color w:val="000000"/>
          <w:sz w:val="44"/>
          <w:szCs w:val="44"/>
        </w:rPr>
        <w:t>具备公益性捐赠税前扣除资格的社会组织名单</w:t>
      </w:r>
    </w:p>
    <w:p>
      <w:pPr>
        <w:rPr>
          <w:rFonts w:ascii="仿宋" w:hAnsi="仿宋" w:eastAsia="仿宋" w:cs="仿宋_GB2312"/>
          <w:bCs/>
          <w:color w:val="000000"/>
          <w:sz w:val="32"/>
          <w:szCs w:val="32"/>
        </w:rPr>
      </w:pPr>
    </w:p>
    <w:p>
      <w:pPr>
        <w:spacing w:line="580" w:lineRule="exact"/>
        <w:rPr>
          <w:rFonts w:hint="eastAsia" w:ascii="仿宋" w:hAnsi="仿宋" w:eastAsia="方正仿宋_GBK" w:cs="方正仿宋_GBK"/>
          <w:bCs/>
          <w:color w:val="000000"/>
          <w:sz w:val="32"/>
          <w:szCs w:val="32"/>
        </w:rPr>
      </w:pPr>
      <w:r>
        <w:rPr>
          <w:rFonts w:hint="eastAsia" w:ascii="仿宋" w:hAnsi="仿宋" w:eastAsia="仿宋" w:cs="仿宋_GB2312"/>
          <w:bCs/>
          <w:color w:val="000000"/>
          <w:sz w:val="32"/>
          <w:szCs w:val="32"/>
        </w:rPr>
        <w:t xml:space="preserve">  </w:t>
      </w:r>
      <w:r>
        <w:rPr>
          <w:rFonts w:hint="eastAsia" w:ascii="仿宋" w:hAnsi="仿宋" w:eastAsia="方正仿宋_GBK" w:cs="方正仿宋_GBK"/>
          <w:bCs/>
          <w:color w:val="000000"/>
          <w:sz w:val="32"/>
          <w:szCs w:val="32"/>
        </w:rPr>
        <w:t xml:space="preserve"> 1</w:t>
      </w:r>
      <w:r>
        <w:rPr>
          <w:rFonts w:hint="eastAsia" w:ascii="仿宋" w:hAnsi="仿宋" w:eastAsia="方正仿宋_GBK" w:cs="方正仿宋_GBK"/>
          <w:bCs/>
          <w:color w:val="000000"/>
          <w:sz w:val="32"/>
          <w:szCs w:val="32"/>
          <w:lang w:eastAsia="zh-CN"/>
        </w:rPr>
        <w:t>．</w:t>
      </w:r>
      <w:r>
        <w:rPr>
          <w:rFonts w:hint="eastAsia" w:ascii="仿宋" w:hAnsi="仿宋" w:eastAsia="方正仿宋_GBK" w:cs="方正仿宋_GBK"/>
          <w:bCs/>
          <w:color w:val="000000"/>
          <w:sz w:val="32"/>
          <w:szCs w:val="32"/>
        </w:rPr>
        <w:t>武汉大学教育发展基金会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武汉张培刚发展经济学研究基金会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武汉市残疾人福利基金会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湖北省光彩事业促进会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5</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湖北省炎帝神农故里建设基金会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6</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中国地质大学（武汉）教育发展基金会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7</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黄冈市青少年发展基金会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8</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湖北省妇女儿童发展基金会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9</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华中师范大学教育发展基金会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10</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中南民族大学教育发展基金会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11</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湖北省阳光慈善物资中心</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12</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武汉华夏理工学院教育发展基金会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13</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长江大学教育发展基金会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14</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湖北省扶贫基金会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15</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华中科技大学教育发展基金会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16</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湖北工业大学教育发展基金会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17</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18</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武汉理工大学教育发展基金会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19</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湖北省青少年发展基金会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20</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湖北省树海公益慈善基金会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21</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湖北省法治发展战略研究院</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22</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湖北省慈善总会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23</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湖北省红十字基金会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24</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湖北工程学院教育发展基金会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25</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武汉市社会组织发展基金会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26</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武汉白鳍豚保护基金会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27</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湖北仙桃见义勇为基金会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28</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武汉音乐学院教育发展基金会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29</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湖北省刘道玉教育基金会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30</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湖北省弘愿慈善基金会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31</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湖北省红安惠农公益基金会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32</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湖北省荆门聂绀弩诗词研究基金会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33</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湖北博昊济学基金会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34</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湖北省宜昌金东方助学基金会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35</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武汉市公安民警英烈基金会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36</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湖北省体育基金会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37</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湖北省吴兆麟基金会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38</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黄冈市见义勇为基金会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39</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武汉市见义勇为基金会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40</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武汉闻一多基金会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41</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武汉市青少年发展基金会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42</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湖北省青年创业就业基金会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43</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湖北省临床肿瘤学会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44</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武汉大学马克昌法学基金会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45</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湖北省兴发之星教师奖励基金会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46</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江汉大学教育发展基金会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47</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湖北武汉中学教育发展基金会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48</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湖北省信义兄弟农民工帮扶基金会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49</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湖北省自强教育基金会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50</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湖北汽车工业学院教育发展基金会</w:t>
      </w:r>
    </w:p>
    <w:p>
      <w:pPr>
        <w:spacing w:line="580" w:lineRule="exact"/>
        <w:rPr>
          <w:rFonts w:hint="eastAsia" w:ascii="仿宋" w:hAnsi="仿宋" w:eastAsia="方正仿宋_GBK" w:cs="方正仿宋_GBK"/>
          <w:sz w:val="32"/>
          <w:szCs w:val="32"/>
        </w:rPr>
      </w:pPr>
      <w:r>
        <w:rPr>
          <w:rFonts w:hint="eastAsia" w:ascii="仿宋" w:hAnsi="仿宋" w:eastAsia="方正仿宋_GBK" w:cs="方正仿宋_GBK"/>
          <w:sz w:val="32"/>
          <w:szCs w:val="32"/>
        </w:rPr>
        <w:t xml:space="preserve">   51</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湖北省夷陵中学教育发展基金会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sz w:val="32"/>
          <w:szCs w:val="32"/>
        </w:rPr>
        <w:t xml:space="preserve">   52</w:t>
      </w:r>
      <w:r>
        <w:rPr>
          <w:rFonts w:hint="eastAsia" w:ascii="仿宋" w:hAnsi="仿宋" w:eastAsia="方正仿宋_GBK" w:cs="方正仿宋_GBK"/>
          <w:sz w:val="32"/>
          <w:szCs w:val="32"/>
          <w:lang w:eastAsia="zh-CN"/>
        </w:rPr>
        <w:t>．</w:t>
      </w:r>
      <w:r>
        <w:rPr>
          <w:rFonts w:hint="eastAsia" w:ascii="仿宋" w:hAnsi="仿宋" w:eastAsia="方正仿宋_GBK" w:cs="方正仿宋_GBK"/>
          <w:color w:val="000000"/>
          <w:sz w:val="32"/>
          <w:szCs w:val="32"/>
        </w:rPr>
        <w:t>湖北省洪湖丰森助学基金会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53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武昌工学院教育发展基金会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54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湖北省佛教慈善基金会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55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湖北省唐人慈善基金会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56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湖北省章开沅文化交流基金会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57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湖北省武珞路中学教育发展基金会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58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湖北省当代公益基金会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59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湖北省法律援助基金会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60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湖北省师范学院教育发展基金会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 xml:space="preserve">   61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湖北省盛帆公益基金会</w:t>
      </w:r>
    </w:p>
    <w:p>
      <w:pPr>
        <w:spacing w:line="580" w:lineRule="exact"/>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lang w:val="en-US" w:eastAsia="zh-CN"/>
        </w:rPr>
        <w:t xml:space="preserve">    </w:t>
      </w:r>
      <w:r>
        <w:rPr>
          <w:rFonts w:hint="eastAsia" w:ascii="仿宋" w:hAnsi="仿宋" w:eastAsia="方正仿宋_GBK" w:cs="方正仿宋_GBK"/>
          <w:color w:val="000000"/>
          <w:sz w:val="32"/>
          <w:szCs w:val="32"/>
        </w:rPr>
        <w:t>62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湖北省望长珍慈善基金会</w:t>
      </w:r>
    </w:p>
    <w:p>
      <w:pPr>
        <w:spacing w:line="580" w:lineRule="exact"/>
        <w:ind w:firstLine="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lang w:val="en-US" w:eastAsia="zh-CN"/>
        </w:rPr>
        <w:t xml:space="preserve">    </w:t>
      </w:r>
      <w:r>
        <w:rPr>
          <w:rFonts w:hint="eastAsia" w:ascii="仿宋" w:hAnsi="仿宋" w:eastAsia="方正仿宋_GBK" w:cs="方正仿宋_GBK"/>
          <w:color w:val="000000"/>
          <w:sz w:val="32"/>
          <w:szCs w:val="32"/>
        </w:rPr>
        <w:t>63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武汉科技大学教育发展基金会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64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武汉纺织大学教育发展基金会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65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湖北省人口福利基金会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66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湖北宜昌一中教育发展基金会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67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华中师大附中教育发展基金会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68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湖北省教育基金会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69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湖北省见义勇为基金会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70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中南财经政法大学教育发展基金会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71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湖北春辉助学基金会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72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湖北吴汉东法学教育基金会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73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湖北一丹大学教育发展基金会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74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湖北省德善公益基金会</w:t>
      </w:r>
    </w:p>
    <w:p>
      <w:pPr>
        <w:spacing w:line="580" w:lineRule="exact"/>
        <w:ind w:firstLine="632" w:firstLineChars="20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75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武汉工程大学教育发展基金会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sz w:val="32"/>
          <w:szCs w:val="32"/>
        </w:rPr>
        <w:t>76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kern w:val="0"/>
          <w:sz w:val="32"/>
          <w:szCs w:val="32"/>
        </w:rPr>
        <w:t>湖北省洁英小红帽志愿者协会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77</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湖北省长江生态保护基金会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78</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湖北中医药大学教育发展基金会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79</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武汉轻工大学教育发展基金会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80</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湖北经济学院教育发展基金会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81</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湖北省谈笑公益慈善基金会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82</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三峡大学教育发展基金会</w:t>
      </w:r>
    </w:p>
    <w:p>
      <w:pPr>
        <w:spacing w:line="580" w:lineRule="exact"/>
        <w:ind w:firstLine="632" w:firstLineChars="20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83</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湖北民族学院教育发展基金会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84</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湖北美好公益基金会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85</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武汉生物工程学院教育发展基金会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86</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湖北卓尔慈善基金会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87</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湖北普仁康福慈善基金会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88</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黄冈师范学院教育发展基金会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89</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湖北随县金泰扶困基金会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90</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湖北理工学院教育基金会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91</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湖北古城公益基金会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92</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湖北威马楚通公益慈善基金会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93</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湖北陈孝平科技发展基金会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94</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武汉晴川学院教育基金会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95</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湖北医药学院教育发展基金会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96</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湖北惠芳助学基金会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kern w:val="0"/>
          <w:sz w:val="32"/>
          <w:szCs w:val="32"/>
        </w:rPr>
        <w:t>97</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sz w:val="32"/>
          <w:szCs w:val="32"/>
        </w:rPr>
        <w:t>湖北玖捌公益基金会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98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湖北第二师范学院教育发展基金会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99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湖北黄石见义勇为基金会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武汉市第十二中学教育发展基金会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湖北省长江证券公益慈善基金会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武汉工商学院教育发展基金会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湖北成蹊公益基金会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湖北省社会工作联合会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湖北灯塔助学服务中心</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湖北省爱心助学志愿者协会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湖北省建藏援藏工作者协会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荆州市慈善总会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109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湖北省荆州中学教育发展基金会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公安县慈善会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江陵县慈善总会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湖北省沙市中学教育发展基金会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公安县城乡居民重大疾病救助会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公安县老区建设促进会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公安县车胤助学基金会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监利县慈善总会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洪湖市慈善总会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黄冈市慈善总会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119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罗田县老区建设促进会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罗田县慈善会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罗田县青年志愿者协会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英山县慈善总会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英山县关爱教育基金会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丹江口市慈善总会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十堰市茅箭区慈善会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十堰市张湾区慈善会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十堰市慈善总会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郧阳区慈善会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129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郧西县慈善会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竹溪县慈善会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房县慈善会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咸宁市慈善会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咸宁市咸安区慈善会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嘉鱼县慈善会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通城县慈善总会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赤壁市志愿者协会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通城县“小红帽”志愿者协会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通山县慈善会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139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赤壁市慈善会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崇阳县慈善会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襄阳市樊城区慈善协会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襄阳市樊城区脚印志愿者服务协会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襄阳市樊城区公益服务协会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襄阳市环境保护协会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襄阳市草草义工协会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南漳县慈善会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老河口市妞妞爱心协会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149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老河口市慈善会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150</w:t>
      </w:r>
      <w:r>
        <w:rPr>
          <w:rFonts w:hint="eastAsia" w:ascii="仿宋" w:hAnsi="仿宋" w:eastAsia="方正仿宋_GBK" w:cs="方正仿宋_GBK"/>
          <w:bCs/>
          <w:color w:val="000000"/>
          <w:sz w:val="32"/>
          <w:szCs w:val="32"/>
          <w:lang w:eastAsia="zh-CN"/>
        </w:rPr>
        <w:t>．</w:t>
      </w:r>
      <w:r>
        <w:rPr>
          <w:rFonts w:hint="eastAsia" w:ascii="仿宋" w:hAnsi="仿宋" w:eastAsia="方正仿宋_GBK" w:cs="方正仿宋_GBK"/>
          <w:color w:val="000000"/>
          <w:sz w:val="32"/>
          <w:szCs w:val="32"/>
        </w:rPr>
        <w:t>谷城县青年志愿者协会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谷城县义工协会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谷城县慈善会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枣阳市慈善会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枣阳市兴隆慈善教育事业促进会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枣阳市王城镇教育事业促进会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枣阳市志愿者协会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枣阳市义工协会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枣阳市南城办事处福利事业发展促进会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159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保康县慈善会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保康县第一中学教育发展促进会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马桥镇社会救助协会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保康县善行义举协会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保康县老区建设促进会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保康县光彩事业促进会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襄阳市襄州区慈善总会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襄阳市襄州区社会工作者协会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襄阳市襄州区老区建设促进会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襄阳襄州区义工协会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169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襄阳市襄城区慈善会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宜城市慈善总会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孝感市慈善总会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孝昌县慈善会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孝感市义工联合会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孝感市光彩事业促进会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孝感市见义勇为促进会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孝感市老区建设促进会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孝感市巾帼志愿者协会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汉川市老区建设促进会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179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应城市老区建设促进会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安陆市慈善会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大悟县慈善会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孝南区慈善会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应城市慈善会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云梦县慈善会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汉川市慈善总会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枝江市慈善协会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远安县慈善协会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兴山县慈善协会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189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宜昌市伍家岗区慈善协会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宜昌市夷陵区慈善协会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宜都市慈善协会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长阳土家族自治县慈善会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秭归县慈善协会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宜昌市英才教育基金会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湖北省宜昌思源慈善基金会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宜昌市点军区教育发展促进会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宜昌市猇亭区慈善协会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199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长阳自治县大病关爱壹佰基金促进会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200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宜昌市西陵区慈善协会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201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当阳市慈善总会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202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五峰土家族自治县慈善协会</w:t>
      </w:r>
    </w:p>
    <w:p>
      <w:pPr>
        <w:spacing w:line="580" w:lineRule="exact"/>
        <w:ind w:firstLine="570"/>
        <w:rPr>
          <w:rFonts w:hint="eastAsia" w:ascii="仿宋" w:hAnsi="仿宋" w:eastAsia="方正仿宋_GBK" w:cs="方正仿宋_GBK"/>
          <w:sz w:val="32"/>
          <w:szCs w:val="32"/>
        </w:rPr>
      </w:pPr>
      <w:r>
        <w:rPr>
          <w:rFonts w:hint="eastAsia" w:ascii="仿宋" w:hAnsi="仿宋" w:eastAsia="方正仿宋_GBK" w:cs="方正仿宋_GBK"/>
          <w:color w:val="000000"/>
          <w:sz w:val="32"/>
          <w:szCs w:val="32"/>
        </w:rPr>
        <w:t>203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sz w:val="32"/>
          <w:szCs w:val="32"/>
        </w:rPr>
        <w:t>恩施土家族苗族自治州慈善总会</w:t>
      </w:r>
    </w:p>
    <w:p>
      <w:pPr>
        <w:spacing w:line="580" w:lineRule="exact"/>
        <w:ind w:firstLine="570"/>
        <w:rPr>
          <w:rFonts w:hint="eastAsia" w:ascii="仿宋" w:hAnsi="仿宋" w:eastAsia="方正仿宋_GBK" w:cs="方正仿宋_GBK"/>
          <w:sz w:val="32"/>
          <w:szCs w:val="32"/>
        </w:rPr>
      </w:pPr>
      <w:r>
        <w:rPr>
          <w:rFonts w:hint="eastAsia" w:ascii="仿宋" w:hAnsi="仿宋" w:eastAsia="方正仿宋_GBK" w:cs="方正仿宋_GBK"/>
          <w:sz w:val="32"/>
          <w:szCs w:val="32"/>
        </w:rPr>
        <w:t>204</w:t>
      </w:r>
      <w:r>
        <w:rPr>
          <w:rFonts w:hint="eastAsia" w:ascii="仿宋" w:hAnsi="仿宋" w:eastAsia="方正仿宋_GBK" w:cs="方正仿宋_GBK"/>
          <w:sz w:val="32"/>
          <w:szCs w:val="32"/>
          <w:lang w:eastAsia="zh-CN"/>
        </w:rPr>
        <w:t>．</w:t>
      </w:r>
      <w:r>
        <w:rPr>
          <w:rFonts w:hint="eastAsia" w:ascii="仿宋" w:hAnsi="仿宋" w:eastAsia="方正仿宋_GBK" w:cs="方正仿宋_GBK"/>
          <w:sz w:val="32"/>
          <w:szCs w:val="32"/>
        </w:rPr>
        <w:t>恩施土家族苗族自治州志愿者协会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sz w:val="32"/>
          <w:szCs w:val="32"/>
        </w:rPr>
        <w:t>205</w:t>
      </w:r>
      <w:r>
        <w:rPr>
          <w:rFonts w:hint="eastAsia" w:ascii="仿宋" w:hAnsi="仿宋" w:eastAsia="方正仿宋_GBK" w:cs="方正仿宋_GBK"/>
          <w:sz w:val="32"/>
          <w:szCs w:val="32"/>
          <w:lang w:eastAsia="zh-CN"/>
        </w:rPr>
        <w:t>．</w:t>
      </w:r>
      <w:r>
        <w:rPr>
          <w:rFonts w:hint="eastAsia" w:ascii="仿宋" w:hAnsi="仿宋" w:eastAsia="方正仿宋_GBK" w:cs="方正仿宋_GBK"/>
          <w:color w:val="000000"/>
          <w:kern w:val="0"/>
          <w:sz w:val="32"/>
          <w:szCs w:val="32"/>
        </w:rPr>
        <w:t>恩施州老区建设促进会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206</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恩施州见义勇为促进会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207</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恩施州义工协会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208</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恩施州助学扶贫促进会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209</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恩施州清江扶贫基金会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210</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恩施市义工协会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211</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恩施市慈善总会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212</w:t>
      </w:r>
      <w:r>
        <w:rPr>
          <w:rFonts w:hint="eastAsia" w:ascii="仿宋" w:hAnsi="仿宋" w:eastAsia="方正仿宋_GBK" w:cs="方正仿宋_GBK"/>
          <w:bCs/>
          <w:color w:val="000000"/>
          <w:sz w:val="32"/>
          <w:szCs w:val="32"/>
          <w:lang w:eastAsia="zh-CN"/>
        </w:rPr>
        <w:t>．</w:t>
      </w:r>
      <w:r>
        <w:rPr>
          <w:rFonts w:hint="eastAsia" w:ascii="仿宋" w:hAnsi="仿宋" w:eastAsia="方正仿宋_GBK" w:cs="方正仿宋_GBK"/>
          <w:color w:val="000000"/>
          <w:kern w:val="0"/>
          <w:sz w:val="32"/>
          <w:szCs w:val="32"/>
        </w:rPr>
        <w:t>恩施市青年志愿者协会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213</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恩施市老区建设促进会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214</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利川市慈善总会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215</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利川市义工协会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216</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利川市志愿者协会</w:t>
      </w:r>
      <w:r>
        <w:rPr>
          <w:rFonts w:hint="eastAsia" w:ascii="仿宋" w:hAnsi="仿宋" w:eastAsia="方正仿宋_GBK" w:cs="方正仿宋_GBK"/>
          <w:color w:val="000000"/>
          <w:kern w:val="0"/>
          <w:sz w:val="32"/>
          <w:szCs w:val="32"/>
          <w:lang w:eastAsia="zh-CN"/>
        </w:rPr>
        <w:t>．</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217</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建始县慈善总会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218</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建始县义工协会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219</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建始县扶贫开发协会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220</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巴东县一中学生救助奖励协会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221</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巴东县慈善协会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222</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巴东县清太平镇教育发展社会助学协会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223</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宣恩县慈善总会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224</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宣恩县义工协会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225</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咸丰县慈善总会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226</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咸丰县老区建设促进会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227</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咸丰县志愿者协会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228</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来凤县爱心妈妈协会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229</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来凤县金太阳公益协会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230</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来凤县慈善总会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231</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来凤县志愿者协会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232</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鹤峰县慈善总会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233</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利川市老区建设促进会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234</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鹤峰县老区建设促进会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235</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鹤峰县志愿者协会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236</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鹤峰县工商界爱心志愿者协会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237</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巴东县志愿者协会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238</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来凤县老区建设促进会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239</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kern w:val="0"/>
          <w:sz w:val="32"/>
          <w:szCs w:val="32"/>
        </w:rPr>
        <w:t>来凤县见义勇为促进会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kern w:val="0"/>
          <w:sz w:val="32"/>
          <w:szCs w:val="32"/>
        </w:rPr>
        <w:t>240</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sz w:val="32"/>
          <w:szCs w:val="32"/>
        </w:rPr>
        <w:t>神农架林区慈善会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随州市慈善总会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随州市志愿服务联合会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随州市心连心志愿者协会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随州市义工联合会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随州市惠民慈善服务中心</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天门市慈善总会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仙桃市慈善总会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仙桃市老区建设促进会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249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 xml:space="preserve">仙桃市红十字会 </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sz w:val="32"/>
          <w:szCs w:val="32"/>
        </w:rPr>
        <w:t>250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kern w:val="0"/>
          <w:sz w:val="32"/>
          <w:szCs w:val="32"/>
        </w:rPr>
        <w:t>潜江市慈善总会</w:t>
      </w:r>
    </w:p>
    <w:p>
      <w:pPr>
        <w:spacing w:line="580" w:lineRule="exact"/>
        <w:ind w:firstLine="570"/>
        <w:rPr>
          <w:rFonts w:hint="eastAsia" w:ascii="仿宋" w:hAnsi="仿宋" w:eastAsia="方正仿宋_GBK" w:cs="方正仿宋_GBK"/>
          <w:color w:val="000000"/>
          <w:kern w:val="0"/>
          <w:sz w:val="32"/>
          <w:szCs w:val="32"/>
        </w:rPr>
      </w:pPr>
      <w:r>
        <w:rPr>
          <w:rFonts w:hint="eastAsia" w:ascii="仿宋" w:hAnsi="仿宋" w:eastAsia="方正仿宋_GBK" w:cs="方正仿宋_GBK"/>
          <w:color w:val="000000"/>
          <w:kern w:val="0"/>
          <w:sz w:val="32"/>
          <w:szCs w:val="32"/>
        </w:rPr>
        <w:t>251</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sz w:val="32"/>
          <w:szCs w:val="32"/>
        </w:rPr>
        <w:t>黄石市慈善总会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kern w:val="0"/>
          <w:sz w:val="32"/>
          <w:szCs w:val="32"/>
        </w:rPr>
        <w:t>252</w:t>
      </w:r>
      <w:r>
        <w:rPr>
          <w:rFonts w:hint="eastAsia" w:ascii="仿宋" w:hAnsi="仿宋" w:eastAsia="方正仿宋_GBK" w:cs="方正仿宋_GBK"/>
          <w:color w:val="000000"/>
          <w:kern w:val="0"/>
          <w:sz w:val="32"/>
          <w:szCs w:val="32"/>
          <w:lang w:eastAsia="zh-CN"/>
        </w:rPr>
        <w:t>．</w:t>
      </w:r>
      <w:r>
        <w:rPr>
          <w:rFonts w:hint="eastAsia" w:ascii="仿宋" w:hAnsi="仿宋" w:eastAsia="方正仿宋_GBK" w:cs="方正仿宋_GBK"/>
          <w:color w:val="000000"/>
          <w:sz w:val="32"/>
          <w:szCs w:val="32"/>
        </w:rPr>
        <w:t>阳新县慈善总会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253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大冶市慈善总会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254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鄂州市慈善总会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255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钟祥市慈善总会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256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荆门市延安精神研究会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257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荆门市老区建设促进会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258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荆门市肢残人协会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259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荆门市老年书画家协会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荆门市老年人体育协会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荆门市圆梦爱心帮扶会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荆门市义务工作联合会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荆门市见义勇为促进会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荆门市自闭症互助协会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荆门市精神残疾人及亲友协会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荆门市老龄协会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荆门市自愿者协会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269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京山县慈善总会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京山县义务工作者联合会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京山县寸草心乡村环境保护促进会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荆门高新区</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掇刀区慈善总会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武汉市石门峰慈善基金会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武汉市荣公公益基金会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武汉凡谷公益基金会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武汉市慈善总会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江岸区慈善会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江汉区慈善会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279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硚口慈善总会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280</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汉阳区慈善会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武昌慈善总会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青山区慈善会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洪山区慈善会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东西湖区慈善会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江夏区慈善会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蔡甸区慈善会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287</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黄陂区慈善会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288</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新洲区慈善会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289</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湖北省劲牌公益慈善基金会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290</w:t>
      </w:r>
      <w:r>
        <w:rPr>
          <w:rFonts w:hint="eastAsia" w:ascii="仿宋" w:hAnsi="仿宋" w:eastAsia="方正仿宋_GBK" w:cs="方正仿宋_GBK"/>
          <w:bCs/>
          <w:color w:val="000000"/>
          <w:sz w:val="32"/>
          <w:szCs w:val="32"/>
          <w:lang w:eastAsia="zh-CN"/>
        </w:rPr>
        <w:t>．</w:t>
      </w:r>
      <w:r>
        <w:rPr>
          <w:rFonts w:hint="eastAsia" w:ascii="仿宋" w:hAnsi="仿宋" w:eastAsia="方正仿宋_GBK" w:cs="方正仿宋_GBK"/>
          <w:color w:val="000000"/>
          <w:sz w:val="32"/>
          <w:szCs w:val="32"/>
        </w:rPr>
        <w:t>荆门市光彩事业促进会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291</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宜昌市光彩事业促进会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292</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湖北文理学院教育发展基金会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293</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荆州市光彩事业促进会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294</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十堰市光彩事业促进会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295</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蕲春县光彩事业促进会</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296</w:t>
      </w:r>
      <w:r>
        <w:rPr>
          <w:rFonts w:hint="eastAsia" w:ascii="仿宋" w:hAnsi="仿宋" w:eastAsia="方正仿宋_GBK" w:cs="方正仿宋_GBK"/>
          <w:color w:val="000000"/>
          <w:sz w:val="32"/>
          <w:szCs w:val="32"/>
          <w:lang w:eastAsia="zh-CN"/>
        </w:rPr>
        <w:t>．</w:t>
      </w:r>
      <w:r>
        <w:rPr>
          <w:rFonts w:hint="eastAsia" w:ascii="仿宋" w:hAnsi="仿宋" w:eastAsia="方正仿宋_GBK" w:cs="方正仿宋_GBK"/>
          <w:color w:val="000000"/>
          <w:sz w:val="32"/>
          <w:szCs w:val="32"/>
        </w:rPr>
        <w:t xml:space="preserve">黄梅县光彩事业促进会 </w:t>
      </w:r>
    </w:p>
    <w:p>
      <w:pPr>
        <w:spacing w:line="580" w:lineRule="exact"/>
        <w:ind w:firstLine="570"/>
        <w:rPr>
          <w:rFonts w:hint="eastAsia" w:ascii="仿宋" w:hAnsi="仿宋" w:eastAsia="方正仿宋_GBK" w:cs="方正仿宋_GBK"/>
          <w:color w:val="000000"/>
          <w:sz w:val="32"/>
          <w:szCs w:val="32"/>
        </w:rPr>
      </w:pPr>
      <w:r>
        <w:rPr>
          <w:rFonts w:hint="eastAsia" w:ascii="仿宋" w:hAnsi="仿宋" w:eastAsia="方正仿宋_GBK" w:cs="方正仿宋_GBK"/>
          <w:color w:val="000000"/>
          <w:sz w:val="32"/>
          <w:szCs w:val="32"/>
        </w:rPr>
        <w:t>297．松滋市慈善总会</w:t>
      </w:r>
    </w:p>
    <w:p>
      <w:pPr>
        <w:pStyle w:val="6"/>
        <w:shd w:val="clear" w:color="auto" w:fill="FFFFFF"/>
        <w:spacing w:line="240" w:lineRule="atLeast"/>
        <w:jc w:val="both"/>
        <w:rPr>
          <w:rFonts w:ascii="仿宋" w:hAnsi="仿宋" w:eastAsia="仿宋"/>
          <w:color w:val="000000"/>
          <w:sz w:val="32"/>
          <w:szCs w:val="32"/>
        </w:rPr>
      </w:pPr>
      <w:r>
        <w:rPr>
          <w:rFonts w:hint="eastAsia" w:ascii="仿宋" w:hAnsi="仿宋" w:eastAsia="仿宋"/>
          <w:color w:val="000000"/>
          <w:sz w:val="32"/>
          <w:szCs w:val="32"/>
        </w:rPr>
        <w:t xml:space="preserve"> </w:t>
      </w:r>
    </w:p>
    <w:p>
      <w:pPr>
        <w:rPr>
          <w:rFonts w:hint="eastAsia" w:ascii="仿宋" w:hAnsi="仿宋" w:eastAsia="方正仿宋_GBK"/>
        </w:rPr>
      </w:pPr>
    </w:p>
    <w:sectPr>
      <w:footerReference r:id="rId6" w:type="first"/>
      <w:footerReference r:id="rId4" w:type="default"/>
      <w:headerReference r:id="rId3" w:type="even"/>
      <w:footerReference r:id="rId5" w:type="even"/>
      <w:pgSz w:w="11907" w:h="16840"/>
      <w:pgMar w:top="1701" w:right="1531" w:bottom="1701" w:left="1531" w:header="0" w:footer="1474" w:gutter="0"/>
      <w:cols w:space="720" w:num="1"/>
      <w:titlePg/>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8307"/>
      </w:tabs>
      <w:wordWrap w:val="0"/>
      <w:ind w:right="320" w:rightChars="100"/>
      <w:jc w:val="center"/>
      <w:rPr>
        <w:rFonts w:hint="eastAsia" w:asci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lear" w:pos="8307"/>
                            </w:tabs>
                            <w:wordWrap w:val="0"/>
                            <w:ind w:right="320" w:rightChars="100"/>
                            <w:jc w:val="right"/>
                          </w:pPr>
                          <w:r>
                            <w:rPr>
                              <w:rFonts w:hint="eastAsia" w:ascii="宋体" w:eastAsia="宋体"/>
                              <w:sz w:val="28"/>
                              <w:lang w:val="en-US" w:eastAsia="zh-CN"/>
                            </w:rPr>
                            <w:t xml:space="preserve">  </w:t>
                          </w: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Page</w:instrText>
                          </w:r>
                          <w:r>
                            <w:rPr>
                              <w:rFonts w:hint="eastAsia" w:ascii="宋体" w:eastAsia="宋体"/>
                              <w:sz w:val="28"/>
                            </w:rPr>
                            <w:fldChar w:fldCharType="separate"/>
                          </w:r>
                          <w:r>
                            <w:rPr>
                              <w:rFonts w:ascii="宋体" w:eastAsia="宋体"/>
                              <w:sz w:val="28"/>
                            </w:rPr>
                            <w:t>3</w:t>
                          </w:r>
                          <w:r>
                            <w:rPr>
                              <w:rFonts w:hint="eastAsia" w:ascii="宋体" w:eastAsia="宋体"/>
                              <w:sz w:val="28"/>
                            </w:rPr>
                            <w:fldChar w:fldCharType="end"/>
                          </w:r>
                          <w:r>
                            <w:rPr>
                              <w:rFonts w:hint="eastAsia" w:asci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tabs>
                        <w:tab w:val="clear" w:pos="8307"/>
                      </w:tabs>
                      <w:wordWrap w:val="0"/>
                      <w:ind w:right="320" w:rightChars="100"/>
                      <w:jc w:val="right"/>
                    </w:pPr>
                    <w:r>
                      <w:rPr>
                        <w:rFonts w:hint="eastAsia" w:ascii="宋体" w:eastAsia="宋体"/>
                        <w:sz w:val="28"/>
                        <w:lang w:val="en-US" w:eastAsia="zh-CN"/>
                      </w:rPr>
                      <w:t xml:space="preserve">  </w:t>
                    </w:r>
                    <w:r>
                      <w:rPr>
                        <w:rFonts w:hint="eastAsia" w:ascii="宋体" w:eastAsia="宋体"/>
                        <w:sz w:val="28"/>
                      </w:rPr>
                      <w:t xml:space="preserve">— </w:t>
                    </w:r>
                    <w:r>
                      <w:rPr>
                        <w:rFonts w:hint="eastAsia" w:ascii="宋体" w:eastAsia="宋体"/>
                        <w:sz w:val="28"/>
                      </w:rPr>
                      <w:fldChar w:fldCharType="begin"/>
                    </w:r>
                    <w:r>
                      <w:rPr>
                        <w:rFonts w:hint="eastAsia" w:ascii="宋体" w:eastAsia="宋体"/>
                        <w:sz w:val="28"/>
                      </w:rPr>
                      <w:instrText xml:space="preserve">Page</w:instrText>
                    </w:r>
                    <w:r>
                      <w:rPr>
                        <w:rFonts w:hint="eastAsia" w:ascii="宋体" w:eastAsia="宋体"/>
                        <w:sz w:val="28"/>
                      </w:rPr>
                      <w:fldChar w:fldCharType="separate"/>
                    </w:r>
                    <w:r>
                      <w:rPr>
                        <w:rFonts w:ascii="宋体" w:eastAsia="宋体"/>
                        <w:sz w:val="28"/>
                      </w:rPr>
                      <w:t>3</w:t>
                    </w:r>
                    <w:r>
                      <w:rPr>
                        <w:rFonts w:hint="eastAsia" w:ascii="宋体" w:eastAsia="宋体"/>
                        <w:sz w:val="28"/>
                      </w:rPr>
                      <w:fldChar w:fldCharType="end"/>
                    </w:r>
                    <w:r>
                      <w:rPr>
                        <w:rFonts w:hint="eastAsia" w:asci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0" w:lineRule="exact"/>
      <w:ind w:left="320" w:leftChars="100"/>
      <w:rPr>
        <w:rFonts w:hint="eastAsia" w:ascii="宋体" w:eastAsia="宋体"/>
        <w:sz w:val="28"/>
        <w:szCs w:val="28"/>
      </w:rPr>
    </w:pPr>
  </w:p>
  <w:p>
    <w:pPr>
      <w:pStyle w:val="2"/>
      <w:ind w:left="320" w:leftChars="100"/>
      <w:rPr>
        <w:rFonts w:hint="eastAsia" w:ascii="宋体" w:eastAsia="宋体"/>
        <w:sz w:val="28"/>
      </w:rPr>
    </w:pPr>
    <w:r>
      <w:rPr>
        <w:rFonts w:hint="eastAsia" w:ascii="宋体" w:eastAsia="宋体"/>
        <w:sz w:val="28"/>
        <w:szCs w:val="28"/>
      </w:rPr>
      <w:t xml:space="preserve">— </w:t>
    </w: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ascii="宋体" w:eastAsia="宋体"/>
        <w:sz w:val="28"/>
        <w:szCs w:val="28"/>
      </w:rPr>
      <w:t>2</w:t>
    </w:r>
    <w:r>
      <w:rPr>
        <w:rFonts w:hint="eastAsia" w:ascii="宋体" w:eastAsia="宋体"/>
        <w:sz w:val="28"/>
        <w:szCs w:val="28"/>
      </w:rPr>
      <w:fldChar w:fldCharType="end"/>
    </w:r>
    <w:r>
      <w:rPr>
        <w:rFonts w:hint="eastAsia" w:asci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136525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15pt;margin-top:10.75pt;height:0pt;width:481.9pt;z-index:251659264;mso-width-relative:page;mso-height-relative:page;" filled="f" stroked="t" coordsize="21600,21600" o:gfxdata="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bZJrNcAAAAJAQAADwAA&#10;AAAAAAABACAAAAAiAAAAZHJzL2Rvd25yZXYueG1sUEsBAhQAFAAAAAgAh07iQOM79sjeAQAAlwMA&#10;AA4AAAAAAAAAAQAgAAAAJgEAAGRycy9lMm9Eb2MueG1sUEsFBgAAAAAGAAYAWQEAAHYFAAAAAA==&#10;">
              <v:fill on="f" focussize="0,0"/>
              <v:stroke weight="1.25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162560</wp:posOffset>
              </wp:positionV>
              <wp:extent cx="6120130" cy="0"/>
              <wp:effectExtent l="0" t="19050" r="13970" b="19050"/>
              <wp:wrapNone/>
              <wp:docPr id="5" name="直接连接符 5" descr="红头"/>
              <wp:cNvGraphicFramePr/>
              <a:graphic xmlns:a="http://schemas.openxmlformats.org/drawingml/2006/main">
                <a:graphicData uri="http://schemas.microsoft.com/office/word/2010/wordprocessingShape">
                  <wps:wsp>
                    <wps:cNvCnPr/>
                    <wps:spPr>
                      <a:xfrm flipV="1">
                        <a:off x="0" y="0"/>
                        <a:ext cx="612013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alt="红头" style="position:absolute;left:0pt;flip:y;margin-top:12.8pt;height:0pt;width:481.9pt;mso-position-horizontal:center;z-index:251658240;mso-width-relative:page;mso-height-relative:page;" filled="f" stroked="t" coordsize="21600,21600" o:gfxdata="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CWLg1gAAAAYBAAAPAAAAAAAAAAEAIAAAACIAAABkcnMvZG93bnJldi54bWxQSwECFAAU&#10;AAAACACHTuJAVtS3RfMBAACwAwAADgAAAAAAAAABACAAAAAlAQAAZHJzL2Uyb0RvYy54bWxQSwUG&#10;AAAAAAYABgBZAQAAigUAAAAA&#10;">
              <v:fill on="f" focussize="0,0"/>
              <v:stroke weight="3pt" color="#FF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14243"/>
    <w:rsid w:val="2E412948"/>
    <w:rsid w:val="56306DBE"/>
    <w:rsid w:val="61B85EE1"/>
    <w:rsid w:val="7A51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paragraph" w:styleId="3">
    <w:name w:val="header"/>
    <w:basedOn w:val="1"/>
    <w:qFormat/>
    <w:uiPriority w:val="0"/>
    <w:pPr>
      <w:tabs>
        <w:tab w:val="center" w:pos="4153"/>
        <w:tab w:val="right" w:pos="8307"/>
      </w:tabs>
      <w:snapToGrid w:val="0"/>
      <w:jc w:val="center"/>
    </w:pPr>
    <w:rPr>
      <w:sz w:val="18"/>
    </w:rPr>
  </w:style>
  <w:style w:type="paragraph" w:customStyle="1" w:styleId="6">
    <w:name w:val="msonormal 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2019-05-22T06:21:00Z</dcterms:created>
  <dc:creator>周爱荣/办公室/湖北省民政厅</dc:creator>
  <cp:lastModifiedBy>Kylive</cp:lastModifiedBy>
  <dcterms:modified xsi:type="dcterms:W3CDTF">2019-05-23T06:55:58Z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